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EF23F6F"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77DB2" w:rsidRPr="0011294C">
        <w:rPr>
          <w:b/>
          <w:bCs/>
          <w:color w:val="000000"/>
        </w:rPr>
        <w:t xml:space="preserve">оказание услуг </w:t>
      </w:r>
      <w:r w:rsidR="00F20E8E" w:rsidRPr="00F20E8E">
        <w:rPr>
          <w:b/>
          <w:bCs/>
          <w:color w:val="000000"/>
        </w:rPr>
        <w:t xml:space="preserve">по подготовке и проведению мероприятий </w:t>
      </w:r>
      <w:r w:rsidR="00C07D72">
        <w:rPr>
          <w:b/>
          <w:bCs/>
          <w:color w:val="000000"/>
        </w:rPr>
        <w:t>«</w:t>
      </w:r>
      <w:r w:rsidR="00F20E8E" w:rsidRPr="00F20E8E">
        <w:rPr>
          <w:b/>
          <w:bCs/>
          <w:color w:val="000000"/>
        </w:rPr>
        <w:t>Tech in Fashion</w:t>
      </w:r>
      <w:r w:rsidR="00C07D72">
        <w:rPr>
          <w:b/>
          <w:bCs/>
          <w:color w:val="000000"/>
        </w:rPr>
        <w:t>»</w:t>
      </w:r>
      <w:r w:rsidR="00F20E8E" w:rsidRPr="00F20E8E">
        <w:rPr>
          <w:b/>
          <w:bCs/>
          <w:color w:val="000000"/>
        </w:rPr>
        <w:t xml:space="preserve"> в рамках Московской недели Моды на ВДНХ</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4B4E5945" w14:textId="506C3FD4" w:rsidR="00C07D72" w:rsidRPr="00F5519B" w:rsidRDefault="001009F7">
          <w:pPr>
            <w:pStyle w:val="1b"/>
            <w:rPr>
              <w:rFonts w:eastAsiaTheme="minorEastAsia"/>
              <w:b w:val="0"/>
              <w:caps w:val="0"/>
              <w:color w:val="auto"/>
              <w:sz w:val="24"/>
              <w:szCs w:val="24"/>
            </w:rPr>
          </w:pPr>
          <w:r w:rsidRPr="00F5519B">
            <w:rPr>
              <w:b w:val="0"/>
              <w:bCs/>
              <w:color w:val="000000" w:themeColor="text1"/>
              <w:sz w:val="24"/>
              <w:szCs w:val="24"/>
            </w:rPr>
            <w:fldChar w:fldCharType="begin"/>
          </w:r>
          <w:r w:rsidR="00D44CF8" w:rsidRPr="00F5519B">
            <w:rPr>
              <w:b w:val="0"/>
              <w:bCs/>
              <w:color w:val="000000" w:themeColor="text1"/>
              <w:sz w:val="24"/>
              <w:szCs w:val="24"/>
            </w:rPr>
            <w:instrText xml:space="preserve"> TOC \o "1-3" \h \z \u </w:instrText>
          </w:r>
          <w:r w:rsidRPr="00F5519B">
            <w:rPr>
              <w:b w:val="0"/>
              <w:bCs/>
              <w:color w:val="000000" w:themeColor="text1"/>
              <w:sz w:val="24"/>
              <w:szCs w:val="24"/>
            </w:rPr>
            <w:fldChar w:fldCharType="separate"/>
          </w:r>
          <w:hyperlink w:anchor="_Toc105598448" w:history="1">
            <w:r w:rsidR="00C07D72" w:rsidRPr="00F5519B">
              <w:rPr>
                <w:rStyle w:val="ac"/>
                <w:bCs/>
                <w:sz w:val="24"/>
                <w:szCs w:val="24"/>
                <w:lang w:eastAsia="en-US"/>
              </w:rPr>
              <w:t>I.</w:t>
            </w:r>
            <w:r w:rsidR="00C07D72" w:rsidRPr="00F5519B">
              <w:rPr>
                <w:rFonts w:eastAsiaTheme="minorEastAsia"/>
                <w:b w:val="0"/>
                <w:caps w:val="0"/>
                <w:color w:val="auto"/>
                <w:sz w:val="24"/>
                <w:szCs w:val="24"/>
              </w:rPr>
              <w:tab/>
            </w:r>
            <w:r w:rsidR="00C07D72" w:rsidRPr="00F5519B">
              <w:rPr>
                <w:rStyle w:val="ac"/>
                <w:bCs/>
                <w:sz w:val="24"/>
                <w:szCs w:val="24"/>
                <w:lang w:eastAsia="en-US"/>
              </w:rPr>
              <w:t>ТЕРМИНЫ И ОПРЕДЕЛЕНИЯ</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_Toc105598448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3</w:t>
            </w:r>
            <w:r w:rsidR="00C07D72" w:rsidRPr="00F5519B">
              <w:rPr>
                <w:webHidden/>
                <w:sz w:val="24"/>
                <w:szCs w:val="24"/>
              </w:rPr>
              <w:fldChar w:fldCharType="end"/>
            </w:r>
          </w:hyperlink>
        </w:p>
        <w:p w14:paraId="17C38DB3" w14:textId="3C2637A5" w:rsidR="00C07D72" w:rsidRPr="00F5519B" w:rsidRDefault="00A92509">
          <w:pPr>
            <w:pStyle w:val="1b"/>
            <w:rPr>
              <w:rFonts w:eastAsiaTheme="minorEastAsia"/>
              <w:b w:val="0"/>
              <w:caps w:val="0"/>
              <w:color w:val="auto"/>
              <w:sz w:val="24"/>
              <w:szCs w:val="24"/>
            </w:rPr>
          </w:pPr>
          <w:hyperlink w:anchor="_Toc105598449" w:history="1">
            <w:r w:rsidR="00C07D72" w:rsidRPr="00F5519B">
              <w:rPr>
                <w:rStyle w:val="ac"/>
                <w:bCs/>
                <w:sz w:val="24"/>
                <w:szCs w:val="24"/>
                <w:lang w:eastAsia="en-US"/>
              </w:rPr>
              <w:t>II.</w:t>
            </w:r>
            <w:r w:rsidR="00C07D72" w:rsidRPr="00F5519B">
              <w:rPr>
                <w:rFonts w:eastAsiaTheme="minorEastAsia"/>
                <w:b w:val="0"/>
                <w:caps w:val="0"/>
                <w:color w:val="auto"/>
                <w:sz w:val="24"/>
                <w:szCs w:val="24"/>
              </w:rPr>
              <w:tab/>
            </w:r>
            <w:r w:rsidR="00C07D72" w:rsidRPr="00F5519B">
              <w:rPr>
                <w:rStyle w:val="ac"/>
                <w:bCs/>
                <w:sz w:val="24"/>
                <w:szCs w:val="24"/>
                <w:lang w:eastAsia="en-US"/>
              </w:rPr>
              <w:t>ОБЩИЕ УСЛОВИЯ ПРОВЕДЕНИЯ ЗАКУПКИ</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_Toc105598449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4</w:t>
            </w:r>
            <w:r w:rsidR="00C07D72" w:rsidRPr="00F5519B">
              <w:rPr>
                <w:webHidden/>
                <w:sz w:val="24"/>
                <w:szCs w:val="24"/>
              </w:rPr>
              <w:fldChar w:fldCharType="end"/>
            </w:r>
          </w:hyperlink>
        </w:p>
        <w:p w14:paraId="441FD981" w14:textId="19191271"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0" w:history="1">
            <w:r w:rsidR="00C07D72" w:rsidRPr="00F5519B">
              <w:rPr>
                <w:rStyle w:val="ac"/>
                <w:rFonts w:ascii="Times New Roman" w:hAnsi="Times New Roman"/>
                <w:b/>
                <w:bCs/>
                <w:noProof/>
                <w:sz w:val="24"/>
                <w:szCs w:val="24"/>
              </w:rPr>
              <w:t>2.1.</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Общие положения</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_Toc105598450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4</w:t>
            </w:r>
            <w:r w:rsidR="00C07D72" w:rsidRPr="00F5519B">
              <w:rPr>
                <w:rFonts w:ascii="Times New Roman" w:hAnsi="Times New Roman"/>
                <w:noProof/>
                <w:webHidden/>
                <w:sz w:val="24"/>
                <w:szCs w:val="24"/>
              </w:rPr>
              <w:fldChar w:fldCharType="end"/>
            </w:r>
          </w:hyperlink>
        </w:p>
        <w:p w14:paraId="14E7FCA9" w14:textId="77A603F2"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1" w:history="1">
            <w:r w:rsidR="00C07D72" w:rsidRPr="00F5519B">
              <w:rPr>
                <w:rStyle w:val="ac"/>
                <w:rFonts w:ascii="Times New Roman" w:hAnsi="Times New Roman"/>
                <w:b/>
                <w:bCs/>
                <w:noProof/>
                <w:sz w:val="24"/>
                <w:szCs w:val="24"/>
              </w:rPr>
              <w:t>2.2.</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Разъяснения Закупочной документации</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_Toc105598451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4</w:t>
            </w:r>
            <w:r w:rsidR="00C07D72" w:rsidRPr="00F5519B">
              <w:rPr>
                <w:rFonts w:ascii="Times New Roman" w:hAnsi="Times New Roman"/>
                <w:noProof/>
                <w:webHidden/>
                <w:sz w:val="24"/>
                <w:szCs w:val="24"/>
              </w:rPr>
              <w:fldChar w:fldCharType="end"/>
            </w:r>
          </w:hyperlink>
        </w:p>
        <w:p w14:paraId="22D4AE39" w14:textId="7A4784C0"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2" w:history="1">
            <w:r w:rsidR="00C07D72" w:rsidRPr="00F5519B">
              <w:rPr>
                <w:rStyle w:val="ac"/>
                <w:rFonts w:ascii="Times New Roman" w:hAnsi="Times New Roman"/>
                <w:b/>
                <w:bCs/>
                <w:noProof/>
                <w:sz w:val="24"/>
                <w:szCs w:val="24"/>
              </w:rPr>
              <w:t>2.3.</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Требования к Заявке</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_Toc105598452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4</w:t>
            </w:r>
            <w:r w:rsidR="00C07D72" w:rsidRPr="00F5519B">
              <w:rPr>
                <w:rFonts w:ascii="Times New Roman" w:hAnsi="Times New Roman"/>
                <w:noProof/>
                <w:webHidden/>
                <w:sz w:val="24"/>
                <w:szCs w:val="24"/>
              </w:rPr>
              <w:fldChar w:fldCharType="end"/>
            </w:r>
          </w:hyperlink>
        </w:p>
        <w:p w14:paraId="542C777B" w14:textId="13FA678E"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3" w:history="1">
            <w:r w:rsidR="00C07D72" w:rsidRPr="00F5519B">
              <w:rPr>
                <w:rStyle w:val="ac"/>
                <w:rFonts w:ascii="Times New Roman" w:hAnsi="Times New Roman"/>
                <w:b/>
                <w:bCs/>
                <w:noProof/>
                <w:sz w:val="24"/>
                <w:szCs w:val="24"/>
              </w:rPr>
              <w:t>2.4.</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Рассмотрение и оценка Заявок</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_Toc105598453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5</w:t>
            </w:r>
            <w:r w:rsidR="00C07D72" w:rsidRPr="00F5519B">
              <w:rPr>
                <w:rFonts w:ascii="Times New Roman" w:hAnsi="Times New Roman"/>
                <w:noProof/>
                <w:webHidden/>
                <w:sz w:val="24"/>
                <w:szCs w:val="24"/>
              </w:rPr>
              <w:fldChar w:fldCharType="end"/>
            </w:r>
          </w:hyperlink>
        </w:p>
        <w:p w14:paraId="48F07B0E" w14:textId="0108B58D"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4" w:history="1">
            <w:r w:rsidR="00C07D72" w:rsidRPr="00F5519B">
              <w:rPr>
                <w:rStyle w:val="ac"/>
                <w:rFonts w:ascii="Times New Roman" w:hAnsi="Times New Roman"/>
                <w:b/>
                <w:bCs/>
                <w:noProof/>
                <w:sz w:val="24"/>
                <w:szCs w:val="24"/>
              </w:rPr>
              <w:t>2.5.</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Изменение и отзыв Заявок</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_Toc105598454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5</w:t>
            </w:r>
            <w:r w:rsidR="00C07D72" w:rsidRPr="00F5519B">
              <w:rPr>
                <w:rFonts w:ascii="Times New Roman" w:hAnsi="Times New Roman"/>
                <w:noProof/>
                <w:webHidden/>
                <w:sz w:val="24"/>
                <w:szCs w:val="24"/>
              </w:rPr>
              <w:fldChar w:fldCharType="end"/>
            </w:r>
          </w:hyperlink>
        </w:p>
        <w:p w14:paraId="4CADABF7" w14:textId="45B60588"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5" w:history="1">
            <w:r w:rsidR="00C07D72" w:rsidRPr="00F5519B">
              <w:rPr>
                <w:rStyle w:val="ac"/>
                <w:rFonts w:ascii="Times New Roman" w:hAnsi="Times New Roman"/>
                <w:b/>
                <w:bCs/>
                <w:noProof/>
                <w:sz w:val="24"/>
                <w:szCs w:val="24"/>
              </w:rPr>
              <w:t>2.6.</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Порядок применения антидемпинговых мер</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_Toc105598455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5</w:t>
            </w:r>
            <w:r w:rsidR="00C07D72" w:rsidRPr="00F5519B">
              <w:rPr>
                <w:rFonts w:ascii="Times New Roman" w:hAnsi="Times New Roman"/>
                <w:noProof/>
                <w:webHidden/>
                <w:sz w:val="24"/>
                <w:szCs w:val="24"/>
              </w:rPr>
              <w:fldChar w:fldCharType="end"/>
            </w:r>
          </w:hyperlink>
        </w:p>
        <w:p w14:paraId="3DAB0171" w14:textId="47148A6C" w:rsidR="00C07D72" w:rsidRPr="00F5519B" w:rsidRDefault="00A92509">
          <w:pPr>
            <w:pStyle w:val="23"/>
            <w:tabs>
              <w:tab w:val="left" w:pos="880"/>
              <w:tab w:val="right" w:leader="dot" w:pos="9345"/>
            </w:tabs>
            <w:rPr>
              <w:rFonts w:ascii="Times New Roman" w:eastAsiaTheme="minorEastAsia" w:hAnsi="Times New Roman"/>
              <w:noProof/>
              <w:sz w:val="24"/>
              <w:szCs w:val="24"/>
              <w:lang w:eastAsia="ru-RU"/>
            </w:rPr>
          </w:pPr>
          <w:hyperlink w:anchor="_Toc105598456" w:history="1">
            <w:r w:rsidR="00C07D72" w:rsidRPr="00F5519B">
              <w:rPr>
                <w:rStyle w:val="ac"/>
                <w:rFonts w:ascii="Times New Roman" w:hAnsi="Times New Roman"/>
                <w:b/>
                <w:bCs/>
                <w:noProof/>
                <w:sz w:val="24"/>
                <w:szCs w:val="24"/>
              </w:rPr>
              <w:t>2.7.</w:t>
            </w:r>
            <w:r w:rsidR="00C07D72" w:rsidRPr="00F5519B">
              <w:rPr>
                <w:rFonts w:ascii="Times New Roman" w:eastAsiaTheme="minorEastAsia" w:hAnsi="Times New Roman"/>
                <w:noProof/>
                <w:sz w:val="24"/>
                <w:szCs w:val="24"/>
                <w:lang w:eastAsia="ru-RU"/>
              </w:rPr>
              <w:tab/>
            </w:r>
            <w:r w:rsidR="00C07D72" w:rsidRPr="00F5519B">
              <w:rPr>
                <w:rStyle w:val="ac"/>
                <w:rFonts w:ascii="Times New Roman" w:hAnsi="Times New Roman"/>
                <w:b/>
                <w:bCs/>
                <w:noProof/>
                <w:sz w:val="24"/>
                <w:szCs w:val="24"/>
              </w:rPr>
              <w:t>Заключение договора</w:t>
            </w:r>
            <w:r w:rsidR="00C07D72" w:rsidRPr="00F5519B">
              <w:rPr>
                <w:rFonts w:ascii="Times New Roman" w:hAnsi="Times New Roman"/>
                <w:noProof/>
                <w:webHidden/>
                <w:sz w:val="24"/>
                <w:szCs w:val="24"/>
              </w:rPr>
              <w:tab/>
            </w:r>
            <w:r w:rsidR="00C07D72" w:rsidRPr="00F5519B">
              <w:rPr>
                <w:rFonts w:ascii="Times New Roman" w:hAnsi="Times New Roman"/>
                <w:noProof/>
                <w:webHidden/>
                <w:sz w:val="24"/>
                <w:szCs w:val="24"/>
              </w:rPr>
              <w:fldChar w:fldCharType="begin"/>
            </w:r>
            <w:r w:rsidR="00C07D72" w:rsidRPr="00F5519B">
              <w:rPr>
                <w:rFonts w:ascii="Times New Roman" w:hAnsi="Times New Roman"/>
                <w:noProof/>
                <w:webHidden/>
                <w:sz w:val="24"/>
                <w:szCs w:val="24"/>
              </w:rPr>
              <w:instrText xml:space="preserve"> PAGEREF _Toc105598456 \h </w:instrText>
            </w:r>
            <w:r w:rsidR="00C07D72" w:rsidRPr="00F5519B">
              <w:rPr>
                <w:rFonts w:ascii="Times New Roman" w:hAnsi="Times New Roman"/>
                <w:noProof/>
                <w:webHidden/>
                <w:sz w:val="24"/>
                <w:szCs w:val="24"/>
              </w:rPr>
            </w:r>
            <w:r w:rsidR="00C07D72" w:rsidRPr="00F5519B">
              <w:rPr>
                <w:rFonts w:ascii="Times New Roman" w:hAnsi="Times New Roman"/>
                <w:noProof/>
                <w:webHidden/>
                <w:sz w:val="24"/>
                <w:szCs w:val="24"/>
              </w:rPr>
              <w:fldChar w:fldCharType="separate"/>
            </w:r>
            <w:r w:rsidR="00C07D72" w:rsidRPr="00F5519B">
              <w:rPr>
                <w:rFonts w:ascii="Times New Roman" w:hAnsi="Times New Roman"/>
                <w:noProof/>
                <w:webHidden/>
                <w:sz w:val="24"/>
                <w:szCs w:val="24"/>
              </w:rPr>
              <w:t>6</w:t>
            </w:r>
            <w:r w:rsidR="00C07D72" w:rsidRPr="00F5519B">
              <w:rPr>
                <w:rFonts w:ascii="Times New Roman" w:hAnsi="Times New Roman"/>
                <w:noProof/>
                <w:webHidden/>
                <w:sz w:val="24"/>
                <w:szCs w:val="24"/>
              </w:rPr>
              <w:fldChar w:fldCharType="end"/>
            </w:r>
          </w:hyperlink>
        </w:p>
        <w:p w14:paraId="6463164E" w14:textId="2875C4ED" w:rsidR="00C07D72" w:rsidRPr="00F5519B" w:rsidRDefault="00A92509">
          <w:pPr>
            <w:pStyle w:val="1b"/>
            <w:rPr>
              <w:rFonts w:eastAsiaTheme="minorEastAsia"/>
              <w:b w:val="0"/>
              <w:caps w:val="0"/>
              <w:color w:val="auto"/>
              <w:sz w:val="24"/>
              <w:szCs w:val="24"/>
            </w:rPr>
          </w:pPr>
          <w:hyperlink w:anchor="_Toc105598457" w:history="1">
            <w:r w:rsidR="00C07D72" w:rsidRPr="00F5519B">
              <w:rPr>
                <w:rStyle w:val="ac"/>
                <w:bCs/>
                <w:sz w:val="24"/>
                <w:szCs w:val="24"/>
                <w:lang w:eastAsia="en-US"/>
              </w:rPr>
              <w:t>III.</w:t>
            </w:r>
            <w:r w:rsidR="00C07D72" w:rsidRPr="00F5519B">
              <w:rPr>
                <w:rFonts w:eastAsiaTheme="minorEastAsia"/>
                <w:b w:val="0"/>
                <w:caps w:val="0"/>
                <w:color w:val="auto"/>
                <w:sz w:val="24"/>
                <w:szCs w:val="24"/>
              </w:rPr>
              <w:tab/>
            </w:r>
            <w:r w:rsidR="00C07D72" w:rsidRPr="00F5519B">
              <w:rPr>
                <w:rStyle w:val="ac"/>
                <w:bCs/>
                <w:sz w:val="24"/>
                <w:szCs w:val="24"/>
                <w:lang w:eastAsia="en-US"/>
              </w:rPr>
              <w:t>ИНФОРМАЦИОННАЯ КАРТА ЗАКУПКИ</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_Toc105598457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6</w:t>
            </w:r>
            <w:r w:rsidR="00C07D72" w:rsidRPr="00F5519B">
              <w:rPr>
                <w:webHidden/>
                <w:sz w:val="24"/>
                <w:szCs w:val="24"/>
              </w:rPr>
              <w:fldChar w:fldCharType="end"/>
            </w:r>
          </w:hyperlink>
        </w:p>
        <w:p w14:paraId="485B8866" w14:textId="57E4F630" w:rsidR="00C07D72" w:rsidRPr="00F5519B" w:rsidRDefault="00A92509">
          <w:pPr>
            <w:pStyle w:val="1b"/>
            <w:rPr>
              <w:rFonts w:eastAsiaTheme="minorEastAsia"/>
              <w:b w:val="0"/>
              <w:caps w:val="0"/>
              <w:color w:val="auto"/>
              <w:sz w:val="24"/>
              <w:szCs w:val="24"/>
            </w:rPr>
          </w:pPr>
          <w:hyperlink w:anchor="_Toc105598458" w:history="1">
            <w:r w:rsidR="00C07D72" w:rsidRPr="00F5519B">
              <w:rPr>
                <w:rStyle w:val="ac"/>
                <w:bCs/>
                <w:sz w:val="24"/>
                <w:szCs w:val="24"/>
                <w:lang w:eastAsia="en-US"/>
              </w:rPr>
              <w:t>IV.</w:t>
            </w:r>
            <w:r w:rsidR="00C07D72" w:rsidRPr="00F5519B">
              <w:rPr>
                <w:rFonts w:eastAsiaTheme="minorEastAsia"/>
                <w:b w:val="0"/>
                <w:caps w:val="0"/>
                <w:color w:val="auto"/>
                <w:sz w:val="24"/>
                <w:szCs w:val="24"/>
              </w:rPr>
              <w:tab/>
            </w:r>
            <w:r w:rsidR="00C07D72" w:rsidRPr="00F5519B">
              <w:rPr>
                <w:rStyle w:val="ac"/>
                <w:bCs/>
                <w:sz w:val="24"/>
                <w:szCs w:val="24"/>
                <w:lang w:eastAsia="en-US"/>
              </w:rPr>
              <w:t>ТЕХНИЧЕСКОЕ ЗАДАНИЕ</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_Toc105598458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14</w:t>
            </w:r>
            <w:r w:rsidR="00C07D72" w:rsidRPr="00F5519B">
              <w:rPr>
                <w:webHidden/>
                <w:sz w:val="24"/>
                <w:szCs w:val="24"/>
              </w:rPr>
              <w:fldChar w:fldCharType="end"/>
            </w:r>
          </w:hyperlink>
        </w:p>
        <w:p w14:paraId="7A8C97A1" w14:textId="6490C942" w:rsidR="00C07D72" w:rsidRPr="00F5519B" w:rsidRDefault="00A92509">
          <w:pPr>
            <w:pStyle w:val="1b"/>
            <w:rPr>
              <w:rFonts w:eastAsiaTheme="minorEastAsia"/>
              <w:b w:val="0"/>
              <w:caps w:val="0"/>
              <w:color w:val="auto"/>
              <w:sz w:val="24"/>
              <w:szCs w:val="24"/>
            </w:rPr>
          </w:pPr>
          <w:hyperlink w:anchor="_Toc105598459" w:history="1">
            <w:r w:rsidR="00C07D72" w:rsidRPr="00F5519B">
              <w:rPr>
                <w:rStyle w:val="ac"/>
                <w:sz w:val="24"/>
                <w:szCs w:val="24"/>
              </w:rPr>
              <w:t>V.</w:t>
            </w:r>
            <w:r w:rsidR="00C07D72" w:rsidRPr="00F5519B">
              <w:rPr>
                <w:rFonts w:eastAsiaTheme="minorEastAsia"/>
                <w:b w:val="0"/>
                <w:caps w:val="0"/>
                <w:color w:val="auto"/>
                <w:sz w:val="24"/>
                <w:szCs w:val="24"/>
              </w:rPr>
              <w:tab/>
            </w:r>
            <w:r w:rsidR="00C07D72" w:rsidRPr="00F5519B">
              <w:rPr>
                <w:rStyle w:val="ac"/>
                <w:bCs/>
                <w:sz w:val="24"/>
                <w:szCs w:val="24"/>
                <w:lang w:eastAsia="en-US"/>
              </w:rPr>
              <w:t>ПРОЕКТ ДОГОВОРА</w:t>
            </w:r>
            <w:r w:rsidR="00C07D72" w:rsidRPr="00F5519B">
              <w:rPr>
                <w:rStyle w:val="ac"/>
                <w:sz w:val="24"/>
                <w:szCs w:val="24"/>
              </w:rPr>
              <w:t xml:space="preserve"> (Представлен отдельным файлом)</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_Toc105598459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15</w:t>
            </w:r>
            <w:r w:rsidR="00C07D72" w:rsidRPr="00F5519B">
              <w:rPr>
                <w:webHidden/>
                <w:sz w:val="24"/>
                <w:szCs w:val="24"/>
              </w:rPr>
              <w:fldChar w:fldCharType="end"/>
            </w:r>
          </w:hyperlink>
        </w:p>
        <w:p w14:paraId="7EA1EEE0" w14:textId="7746E4FB" w:rsidR="00C07D72" w:rsidRPr="00F5519B" w:rsidRDefault="00A92509">
          <w:pPr>
            <w:pStyle w:val="1b"/>
            <w:rPr>
              <w:rFonts w:eastAsiaTheme="minorEastAsia"/>
              <w:b w:val="0"/>
              <w:caps w:val="0"/>
              <w:color w:val="auto"/>
              <w:sz w:val="24"/>
              <w:szCs w:val="24"/>
            </w:rPr>
          </w:pPr>
          <w:hyperlink w:anchor="_Toc105598460" w:history="1">
            <w:r w:rsidR="00C07D72" w:rsidRPr="00F5519B">
              <w:rPr>
                <w:rStyle w:val="ac"/>
                <w:bCs/>
                <w:sz w:val="24"/>
                <w:szCs w:val="24"/>
                <w:lang w:eastAsia="en-US"/>
              </w:rPr>
              <w:t>VI.</w:t>
            </w:r>
            <w:r w:rsidR="00C07D72" w:rsidRPr="00F5519B">
              <w:rPr>
                <w:rFonts w:eastAsiaTheme="minorEastAsia"/>
                <w:b w:val="0"/>
                <w:caps w:val="0"/>
                <w:color w:val="auto"/>
                <w:sz w:val="24"/>
                <w:szCs w:val="24"/>
              </w:rPr>
              <w:tab/>
            </w:r>
            <w:r w:rsidR="00C07D72" w:rsidRPr="00F5519B">
              <w:rPr>
                <w:rStyle w:val="ac"/>
                <w:bCs/>
                <w:sz w:val="24"/>
                <w:szCs w:val="24"/>
                <w:lang w:eastAsia="en-US"/>
              </w:rPr>
              <w:t>ОБОСНОВАНИЕ НМЦ  (НАЧАЛЬНОЙ МАКСИМАЛЬНОЙ ЦЕНЫ) ДОГОВОРА</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_Toc105598460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16</w:t>
            </w:r>
            <w:r w:rsidR="00C07D72" w:rsidRPr="00F5519B">
              <w:rPr>
                <w:webHidden/>
                <w:sz w:val="24"/>
                <w:szCs w:val="24"/>
              </w:rPr>
              <w:fldChar w:fldCharType="end"/>
            </w:r>
          </w:hyperlink>
        </w:p>
        <w:p w14:paraId="2555FD17" w14:textId="520781AA" w:rsidR="00C07D72" w:rsidRPr="00F5519B" w:rsidRDefault="00A92509">
          <w:pPr>
            <w:pStyle w:val="1b"/>
            <w:rPr>
              <w:rFonts w:eastAsiaTheme="minorEastAsia"/>
              <w:b w:val="0"/>
              <w:caps w:val="0"/>
              <w:color w:val="auto"/>
              <w:sz w:val="24"/>
              <w:szCs w:val="24"/>
            </w:rPr>
          </w:pPr>
          <w:hyperlink w:anchor="_Toc105598461" w:history="1">
            <w:r w:rsidR="00C07D72" w:rsidRPr="00F5519B">
              <w:rPr>
                <w:rStyle w:val="ac"/>
                <w:bCs/>
                <w:sz w:val="24"/>
                <w:szCs w:val="24"/>
                <w:lang w:eastAsia="en-US"/>
              </w:rPr>
              <w:t>VII.</w:t>
            </w:r>
            <w:r w:rsidR="00C07D72" w:rsidRPr="00F5519B">
              <w:rPr>
                <w:rFonts w:eastAsiaTheme="minorEastAsia"/>
                <w:b w:val="0"/>
                <w:caps w:val="0"/>
                <w:color w:val="auto"/>
                <w:sz w:val="24"/>
                <w:szCs w:val="24"/>
              </w:rPr>
              <w:tab/>
            </w:r>
            <w:r w:rsidR="00C07D72" w:rsidRPr="00F5519B">
              <w:rPr>
                <w:rStyle w:val="ac"/>
                <w:bCs/>
                <w:sz w:val="24"/>
                <w:szCs w:val="24"/>
                <w:lang w:eastAsia="en-US"/>
              </w:rPr>
              <w:t>ФОРМА ЗАЯВКИ</w:t>
            </w:r>
            <w:r w:rsidR="00C07D72" w:rsidRPr="00F5519B">
              <w:rPr>
                <w:webHidden/>
                <w:sz w:val="24"/>
                <w:szCs w:val="24"/>
              </w:rPr>
              <w:tab/>
            </w:r>
            <w:r w:rsidR="00C07D72" w:rsidRPr="00F5519B">
              <w:rPr>
                <w:webHidden/>
                <w:sz w:val="24"/>
                <w:szCs w:val="24"/>
              </w:rPr>
              <w:fldChar w:fldCharType="begin"/>
            </w:r>
            <w:r w:rsidR="00C07D72" w:rsidRPr="00F5519B">
              <w:rPr>
                <w:webHidden/>
                <w:sz w:val="24"/>
                <w:szCs w:val="24"/>
              </w:rPr>
              <w:instrText xml:space="preserve"> PAGEREF _Toc105598461 \h </w:instrText>
            </w:r>
            <w:r w:rsidR="00C07D72" w:rsidRPr="00F5519B">
              <w:rPr>
                <w:webHidden/>
                <w:sz w:val="24"/>
                <w:szCs w:val="24"/>
              </w:rPr>
            </w:r>
            <w:r w:rsidR="00C07D72" w:rsidRPr="00F5519B">
              <w:rPr>
                <w:webHidden/>
                <w:sz w:val="24"/>
                <w:szCs w:val="24"/>
              </w:rPr>
              <w:fldChar w:fldCharType="separate"/>
            </w:r>
            <w:r w:rsidR="00C07D72" w:rsidRPr="00F5519B">
              <w:rPr>
                <w:webHidden/>
                <w:sz w:val="24"/>
                <w:szCs w:val="24"/>
              </w:rPr>
              <w:t>17</w:t>
            </w:r>
            <w:r w:rsidR="00C07D72" w:rsidRPr="00F5519B">
              <w:rPr>
                <w:webHidden/>
                <w:sz w:val="24"/>
                <w:szCs w:val="24"/>
              </w:rPr>
              <w:fldChar w:fldCharType="end"/>
            </w:r>
          </w:hyperlink>
        </w:p>
        <w:p w14:paraId="46DFC3A5" w14:textId="6EDB1C9E" w:rsidR="00D44CF8" w:rsidRPr="00265DBF" w:rsidRDefault="001009F7" w:rsidP="002C3536">
          <w:pPr>
            <w:widowControl w:val="0"/>
            <w:tabs>
              <w:tab w:val="left" w:pos="-567"/>
              <w:tab w:val="left" w:pos="-426"/>
              <w:tab w:val="left" w:pos="440"/>
              <w:tab w:val="right" w:leader="dot" w:pos="9356"/>
            </w:tabs>
            <w:snapToGrid w:val="0"/>
            <w:rPr>
              <w:bCs/>
            </w:rPr>
          </w:pPr>
          <w:r w:rsidRPr="00F5519B">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598448"/>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598449"/>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598450"/>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5984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598452"/>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598453"/>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598454"/>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598455"/>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598456"/>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598457"/>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9439"/>
      </w:tblGrid>
      <w:tr w:rsidR="00D44CF8"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125009, г. Москва, вн.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0C57570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F6DF1">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3B539F8A"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8-926-576-60-23</w:t>
            </w:r>
          </w:p>
          <w:p w14:paraId="45902B56" w14:textId="2EF6B3D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FF6DF1">
              <w:rPr>
                <w:rFonts w:ascii="Times New Roman" w:hAnsi="Times New Roman"/>
                <w:b/>
                <w:bCs/>
                <w:color w:val="000000"/>
                <w:shd w:val="clear" w:color="auto" w:fill="FFFFFF"/>
                <w:lang w:val="en-US"/>
              </w:rPr>
              <w:t>Sovetkinaka</w:t>
            </w:r>
            <w:r w:rsidR="00901EDB" w:rsidRPr="00901EDB">
              <w:rPr>
                <w:rFonts w:ascii="Times New Roman" w:hAnsi="Times New Roman"/>
                <w:b/>
                <w:bCs/>
                <w:color w:val="000000"/>
                <w:shd w:val="clear" w:color="auto" w:fill="FFFFFF"/>
              </w:rPr>
              <w:t>@mos.ru</w:t>
            </w:r>
          </w:p>
        </w:tc>
      </w:tr>
      <w:tr w:rsidR="00D44CF8"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4E783ABF" w:rsidR="00D44CF8" w:rsidRPr="00F30ACD" w:rsidRDefault="00480F78" w:rsidP="00F109AC">
            <w:pPr>
              <w:widowControl w:val="0"/>
              <w:ind w:firstLine="709"/>
              <w:jc w:val="both"/>
              <w:rPr>
                <w:rFonts w:ascii="Times New Roman" w:hAnsi="Times New Roman"/>
                <w:b/>
                <w:bCs/>
              </w:rPr>
            </w:pPr>
            <w:r w:rsidRPr="00480F78">
              <w:rPr>
                <w:rFonts w:ascii="Times New Roman" w:hAnsi="Times New Roman"/>
              </w:rPr>
              <w:t xml:space="preserve">Оказание услуг </w:t>
            </w:r>
            <w:r w:rsidR="00F20E8E" w:rsidRPr="00F20E8E">
              <w:rPr>
                <w:rFonts w:ascii="Times New Roman" w:hAnsi="Times New Roman"/>
              </w:rPr>
              <w:t xml:space="preserve">по подготовке и проведению мероприятий </w:t>
            </w:r>
            <w:r w:rsidR="00C07D72">
              <w:rPr>
                <w:rFonts w:ascii="Times New Roman" w:hAnsi="Times New Roman"/>
              </w:rPr>
              <w:t>«</w:t>
            </w:r>
            <w:r w:rsidR="00F20E8E" w:rsidRPr="00F20E8E">
              <w:rPr>
                <w:rFonts w:ascii="Times New Roman" w:hAnsi="Times New Roman"/>
              </w:rPr>
              <w:t>Tech in Fashion</w:t>
            </w:r>
            <w:r w:rsidR="00C07D72">
              <w:rPr>
                <w:rFonts w:ascii="Times New Roman" w:hAnsi="Times New Roman"/>
              </w:rPr>
              <w:t>»</w:t>
            </w:r>
            <w:r w:rsidR="00F20E8E" w:rsidRPr="00F20E8E">
              <w:rPr>
                <w:rFonts w:ascii="Times New Roman" w:hAnsi="Times New Roman"/>
              </w:rPr>
              <w:t xml:space="preserve"> в рамках Московской недели Моды на ВДНХ</w:t>
            </w:r>
          </w:p>
        </w:tc>
      </w:tr>
      <w:tr w:rsidR="00D44CF8"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8709DFF" w14:textId="636F68AD"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8C1EC4" w:rsidRPr="0011294C">
              <w:rPr>
                <w:rFonts w:ascii="Times New Roman" w:hAnsi="Times New Roman"/>
              </w:rPr>
              <w:t>и</w:t>
            </w:r>
            <w:r w:rsidRPr="0011294C">
              <w:rPr>
                <w:rFonts w:ascii="Times New Roman" w:hAnsi="Times New Roman"/>
              </w:rPr>
              <w:t>:</w:t>
            </w:r>
            <w:r w:rsidR="00D96034" w:rsidRPr="0011294C">
              <w:rPr>
                <w:rFonts w:ascii="Times New Roman" w:hAnsi="Times New Roman"/>
              </w:rPr>
              <w:t xml:space="preserve"> </w:t>
            </w:r>
            <w:r w:rsidR="00F20E8E" w:rsidRPr="00F20E8E">
              <w:rPr>
                <w:rFonts w:ascii="Times New Roman" w:hAnsi="Times New Roman"/>
              </w:rPr>
              <w:t>г. Москва, территория ВДНХ</w:t>
            </w:r>
            <w:r w:rsidR="00F30ACD" w:rsidRPr="0011294C">
              <w:rPr>
                <w:rFonts w:ascii="Times New Roman" w:hAnsi="Times New Roman"/>
              </w:rPr>
              <w:t>.</w:t>
            </w:r>
          </w:p>
          <w:p w14:paraId="6369F91B" w14:textId="24927313" w:rsidR="00F109AC" w:rsidRPr="00265DBF" w:rsidRDefault="00FF6DF1" w:rsidP="0030551B">
            <w:pPr>
              <w:rPr>
                <w:rFonts w:ascii="Times New Roman" w:hAnsi="Times New Roman"/>
                <w:bCs/>
                <w:lang w:eastAsia="ru-RU"/>
              </w:rPr>
            </w:pPr>
            <w:r w:rsidRPr="00FF6DF1">
              <w:rPr>
                <w:rFonts w:ascii="Times New Roman" w:eastAsia="Times New Roman" w:hAnsi="Times New Roman"/>
              </w:rPr>
              <w:t xml:space="preserve">С даты подписания Сторонами Договора по </w:t>
            </w:r>
            <w:r w:rsidR="00F20E8E">
              <w:rPr>
                <w:rFonts w:ascii="Times New Roman" w:eastAsia="Times New Roman" w:hAnsi="Times New Roman"/>
              </w:rPr>
              <w:t>27</w:t>
            </w:r>
            <w:r w:rsidRPr="00FF6DF1">
              <w:rPr>
                <w:rFonts w:ascii="Times New Roman" w:eastAsia="Times New Roman" w:hAnsi="Times New Roman"/>
              </w:rPr>
              <w:t xml:space="preserve"> </w:t>
            </w:r>
            <w:r w:rsidR="00F20E8E">
              <w:rPr>
                <w:rFonts w:ascii="Times New Roman" w:eastAsia="Times New Roman" w:hAnsi="Times New Roman"/>
              </w:rPr>
              <w:t>июня</w:t>
            </w:r>
            <w:r w:rsidRPr="00FF6DF1">
              <w:rPr>
                <w:rFonts w:ascii="Times New Roman" w:eastAsia="Times New Roman" w:hAnsi="Times New Roman"/>
              </w:rPr>
              <w:t xml:space="preserve"> 2022 года.</w:t>
            </w:r>
          </w:p>
        </w:tc>
      </w:tr>
      <w:tr w:rsidR="00D44CF8"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34BA198D" w:rsidR="00FF6DF1" w:rsidRPr="00FF6DF1" w:rsidRDefault="00FF6DF1" w:rsidP="00E8169E">
            <w:pPr>
              <w:widowControl w:val="0"/>
              <w:ind w:firstLine="709"/>
              <w:jc w:val="both"/>
              <w:rPr>
                <w:rFonts w:ascii="Times New Roman" w:eastAsia="Times New Roman" w:hAnsi="Times New Roman"/>
                <w:color w:val="000000"/>
              </w:rPr>
            </w:pPr>
            <w:r w:rsidRPr="00FF6DF1">
              <w:rPr>
                <w:rFonts w:ascii="Times New Roman" w:eastAsia="Times New Roman" w:hAnsi="Times New Roman"/>
                <w:color w:val="000000"/>
              </w:rPr>
              <w:t>Начальная (максимальная) цена договора:</w:t>
            </w:r>
            <w:r w:rsidR="007344DD">
              <w:rPr>
                <w:rFonts w:ascii="Times New Roman" w:eastAsia="Times New Roman" w:hAnsi="Times New Roman"/>
                <w:color w:val="000000"/>
              </w:rPr>
              <w:t xml:space="preserve"> </w:t>
            </w:r>
            <w:r w:rsidR="002747B2" w:rsidRPr="002747B2">
              <w:rPr>
                <w:rFonts w:ascii="Times New Roman" w:eastAsia="Times New Roman" w:hAnsi="Times New Roman"/>
                <w:color w:val="000000"/>
              </w:rPr>
              <w:t>49 939 328 (Сорок девять миллионов девятьсот тридцать девять тысяч триста двадцать восемь) рублей 51 копейка</w:t>
            </w:r>
            <w:r w:rsidR="003E473D">
              <w:rPr>
                <w:rFonts w:ascii="Times New Roman" w:eastAsia="Times New Roman" w:hAnsi="Times New Roman"/>
                <w:color w:val="000000"/>
              </w:rPr>
              <w:t>.</w:t>
            </w:r>
          </w:p>
          <w:p w14:paraId="5A8CB2A3" w14:textId="5D00A4FA"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FF6DF1"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35513289" w14:textId="687D9F44" w:rsidR="00FF6DF1" w:rsidRPr="00265DBF" w:rsidRDefault="00FF6DF1" w:rsidP="00FF6DF1">
            <w:pPr>
              <w:widowControl w:val="0"/>
              <w:ind w:firstLine="709"/>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FF6DF1"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FF6DF1"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75496BED" w14:textId="3ED4F08B" w:rsidR="00BB596C" w:rsidRPr="00BB596C" w:rsidRDefault="00BB596C" w:rsidP="00BB596C">
            <w:pPr>
              <w:widowControl w:val="0"/>
              <w:ind w:firstLine="709"/>
              <w:jc w:val="both"/>
              <w:rPr>
                <w:rFonts w:ascii="Times New Roman" w:hAnsi="Times New Roman"/>
              </w:rPr>
            </w:pPr>
            <w:r w:rsidRPr="00BB596C">
              <w:rPr>
                <w:rFonts w:ascii="Times New Roman" w:hAnsi="Times New Roman"/>
              </w:rPr>
              <w:t xml:space="preserve">Авансовый платеж в размере 30% от Цены Договора, что составляет </w:t>
            </w:r>
            <w:r w:rsidRPr="00BB596C">
              <w:rPr>
                <w:rFonts w:ascii="Times New Roman" w:hAnsi="Times New Roman"/>
              </w:rPr>
              <w:br/>
              <w:t xml:space="preserve">__________ (далее – Аванс), в т.ч. НДС 20%, что составляет __________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5 (Пяти)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0AB63861" w:rsidR="00FF6DF1" w:rsidRPr="00BB596C" w:rsidRDefault="00BB596C" w:rsidP="00BB596C">
            <w:pPr>
              <w:widowControl w:val="0"/>
              <w:shd w:val="clear" w:color="auto" w:fill="FFFFFF"/>
              <w:ind w:firstLine="709"/>
              <w:jc w:val="both"/>
              <w:rPr>
                <w:rFonts w:ascii="Times New Roman" w:hAnsi="Times New Roman"/>
              </w:rPr>
            </w:pPr>
            <w:r w:rsidRPr="00BB596C">
              <w:rPr>
                <w:rFonts w:ascii="Times New Roman" w:hAnsi="Times New Roman"/>
              </w:rPr>
              <w:t xml:space="preserve">Окончательный расчет за оказанные и принятые по Договору Услуги в размере ___________, в т.ч. НДС 20%, что составляет __________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Договору, составленного по форме Приложения № 5 к Договору (далее – Акт), при условии предоставления Исполнителем оригинала счета, выставленного не ранее даты </w:t>
            </w:r>
            <w:r w:rsidRPr="00BB596C">
              <w:rPr>
                <w:rFonts w:ascii="Times New Roman" w:hAnsi="Times New Roman"/>
              </w:rPr>
              <w:lastRenderedPageBreak/>
              <w:t>подписания Акта Заказчиком, Акта и отчетных документов, подтверждающих объем оказанных Услуг по Договору.</w:t>
            </w:r>
          </w:p>
        </w:tc>
      </w:tr>
      <w:tr w:rsidR="00FF6DF1"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FF6DF1"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2D624E9E"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2427A1">
              <w:rPr>
                <w:rFonts w:ascii="Times New Roman" w:hAnsi="Times New Roman"/>
              </w:rPr>
              <w:t>09</w:t>
            </w:r>
            <w:r w:rsidRPr="00265DBF">
              <w:rPr>
                <w:rFonts w:ascii="Times New Roman" w:hAnsi="Times New Roman"/>
              </w:rPr>
              <w:t xml:space="preserve">» </w:t>
            </w:r>
            <w:r w:rsidR="002427A1">
              <w:rPr>
                <w:rFonts w:ascii="Times New Roman" w:hAnsi="Times New Roman"/>
              </w:rPr>
              <w:t>июня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7694D07D"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2427A1">
              <w:rPr>
                <w:rFonts w:ascii="Times New Roman" w:hAnsi="Times New Roman"/>
              </w:rPr>
              <w:t>16</w:t>
            </w:r>
            <w:r w:rsidRPr="00265DBF">
              <w:rPr>
                <w:rFonts w:ascii="Times New Roman" w:hAnsi="Times New Roman"/>
              </w:rPr>
              <w:t xml:space="preserve">» </w:t>
            </w:r>
            <w:r w:rsidR="002427A1">
              <w:rPr>
                <w:rFonts w:ascii="Times New Roman" w:hAnsi="Times New Roman"/>
              </w:rPr>
              <w:t>июня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25821F89" w14:textId="2997ECDA"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2427A1">
              <w:rPr>
                <w:rFonts w:ascii="Times New Roman" w:hAnsi="Times New Roman"/>
              </w:rPr>
              <w:t>17</w:t>
            </w:r>
            <w:r w:rsidRPr="00265DBF">
              <w:rPr>
                <w:rFonts w:ascii="Times New Roman" w:hAnsi="Times New Roman"/>
              </w:rPr>
              <w:t xml:space="preserve">» </w:t>
            </w:r>
            <w:r w:rsidR="002427A1">
              <w:rPr>
                <w:rFonts w:ascii="Times New Roman" w:hAnsi="Times New Roman"/>
              </w:rPr>
              <w:t>июня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tc>
      </w:tr>
      <w:tr w:rsidR="00FF6DF1"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FF6DF1"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23C43EA6" w:rsidR="00FF6DF1" w:rsidRPr="000B7805" w:rsidRDefault="00FF6DF1" w:rsidP="00FF6DF1">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2427A1">
              <w:rPr>
                <w:rFonts w:ascii="Times New Roman" w:hAnsi="Times New Roman"/>
              </w:rPr>
              <w:t>09</w:t>
            </w:r>
            <w:r w:rsidRPr="000B7805">
              <w:rPr>
                <w:rFonts w:ascii="Times New Roman" w:hAnsi="Times New Roman"/>
              </w:rPr>
              <w:t xml:space="preserve">» </w:t>
            </w:r>
            <w:r w:rsidR="002427A1">
              <w:rPr>
                <w:rFonts w:ascii="Times New Roman" w:hAnsi="Times New Roman"/>
              </w:rPr>
              <w:t>июня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о «</w:t>
            </w:r>
            <w:r w:rsidR="002427A1">
              <w:rPr>
                <w:rFonts w:ascii="Times New Roman" w:hAnsi="Times New Roman"/>
              </w:rPr>
              <w:t>20</w:t>
            </w:r>
            <w:r w:rsidRPr="000B7805">
              <w:rPr>
                <w:rFonts w:ascii="Times New Roman" w:hAnsi="Times New Roman"/>
              </w:rPr>
              <w:t xml:space="preserve">» </w:t>
            </w:r>
            <w:r w:rsidR="002427A1">
              <w:rPr>
                <w:rFonts w:ascii="Times New Roman" w:hAnsi="Times New Roman"/>
              </w:rPr>
              <w:t>июня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FF6DF1"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FF6DF1"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FF6DF1"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FF6DF1"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44662D67" w:rsidR="00BB596C" w:rsidRPr="00265DBF" w:rsidRDefault="00FF6DF1" w:rsidP="002427A1">
            <w:pPr>
              <w:widowControl w:val="0"/>
              <w:ind w:firstLine="709"/>
              <w:jc w:val="both"/>
              <w:rPr>
                <w:rFonts w:ascii="Times New Roman" w:hAnsi="Times New Roman"/>
              </w:rPr>
            </w:pPr>
            <w:r w:rsidRPr="00265DBF">
              <w:rPr>
                <w:rFonts w:ascii="Times New Roman" w:hAnsi="Times New Roman"/>
              </w:rPr>
              <w:t>«</w:t>
            </w:r>
            <w:r w:rsidR="002427A1">
              <w:rPr>
                <w:rFonts w:ascii="Times New Roman" w:hAnsi="Times New Roman"/>
              </w:rPr>
              <w:t>20</w:t>
            </w:r>
            <w:r w:rsidRPr="00265DBF">
              <w:rPr>
                <w:rFonts w:ascii="Times New Roman" w:hAnsi="Times New Roman"/>
              </w:rPr>
              <w:t>»</w:t>
            </w:r>
            <w:r>
              <w:rPr>
                <w:rFonts w:ascii="Times New Roman" w:hAnsi="Times New Roman"/>
              </w:rPr>
              <w:t xml:space="preserve"> </w:t>
            </w:r>
            <w:r w:rsidR="002427A1">
              <w:rPr>
                <w:rFonts w:ascii="Times New Roman" w:hAnsi="Times New Roman"/>
              </w:rPr>
              <w:t>июня</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FF6DF1"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5EC7E296" w14:textId="77777777" w:rsidR="002427A1" w:rsidRDefault="002427A1" w:rsidP="00FF6DF1">
            <w:pPr>
              <w:widowControl w:val="0"/>
              <w:ind w:firstLine="709"/>
              <w:jc w:val="both"/>
              <w:rPr>
                <w:rFonts w:ascii="Times New Roman" w:hAnsi="Times New Roman"/>
                <w:b/>
              </w:rPr>
            </w:pPr>
          </w:p>
          <w:p w14:paraId="50FD9B5E" w14:textId="77777777" w:rsidR="002427A1" w:rsidRDefault="002427A1" w:rsidP="00FF6DF1">
            <w:pPr>
              <w:widowControl w:val="0"/>
              <w:ind w:firstLine="709"/>
              <w:jc w:val="both"/>
              <w:rPr>
                <w:rFonts w:ascii="Times New Roman" w:hAnsi="Times New Roman"/>
                <w:b/>
              </w:rPr>
            </w:pPr>
          </w:p>
          <w:p w14:paraId="6D1709A7" w14:textId="77777777" w:rsidR="002427A1" w:rsidRDefault="002427A1" w:rsidP="00FF6DF1">
            <w:pPr>
              <w:widowControl w:val="0"/>
              <w:ind w:firstLine="709"/>
              <w:jc w:val="both"/>
              <w:rPr>
                <w:rFonts w:ascii="Times New Roman" w:hAnsi="Times New Roman"/>
                <w:b/>
              </w:rPr>
            </w:pPr>
          </w:p>
          <w:p w14:paraId="7D471433" w14:textId="77777777" w:rsidR="002427A1" w:rsidRDefault="002427A1" w:rsidP="00FF6DF1">
            <w:pPr>
              <w:widowControl w:val="0"/>
              <w:ind w:firstLine="709"/>
              <w:jc w:val="both"/>
              <w:rPr>
                <w:rFonts w:ascii="Times New Roman" w:hAnsi="Times New Roman"/>
                <w:b/>
              </w:rPr>
            </w:pPr>
          </w:p>
          <w:p w14:paraId="44A73EDA" w14:textId="77777777" w:rsidR="002427A1" w:rsidRDefault="002427A1" w:rsidP="00FF6DF1">
            <w:pPr>
              <w:widowControl w:val="0"/>
              <w:ind w:firstLine="709"/>
              <w:jc w:val="both"/>
              <w:rPr>
                <w:rFonts w:ascii="Times New Roman" w:hAnsi="Times New Roman"/>
                <w:b/>
              </w:rPr>
            </w:pPr>
          </w:p>
          <w:p w14:paraId="5C1DE474" w14:textId="77777777" w:rsidR="002427A1" w:rsidRDefault="002427A1" w:rsidP="00FF6DF1">
            <w:pPr>
              <w:widowControl w:val="0"/>
              <w:ind w:firstLine="709"/>
              <w:jc w:val="both"/>
              <w:rPr>
                <w:rFonts w:ascii="Times New Roman" w:hAnsi="Times New Roman"/>
                <w:b/>
              </w:rPr>
            </w:pPr>
          </w:p>
          <w:p w14:paraId="0B5676D4" w14:textId="5F22FBAC" w:rsidR="00FF6DF1" w:rsidRDefault="00FF6DF1" w:rsidP="00FF6DF1">
            <w:pPr>
              <w:widowControl w:val="0"/>
              <w:ind w:firstLine="709"/>
              <w:jc w:val="both"/>
              <w:rPr>
                <w:rFonts w:ascii="Times New Roman" w:hAnsi="Times New Roman"/>
                <w:b/>
              </w:rPr>
            </w:pPr>
            <w:r w:rsidRPr="00265DBF">
              <w:rPr>
                <w:rFonts w:ascii="Times New Roman" w:hAnsi="Times New Roman"/>
                <w:b/>
              </w:rPr>
              <w:lastRenderedPageBreak/>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47"/>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0B2D86EE" w:rsidR="00C666DC" w:rsidRPr="00C666DC" w:rsidRDefault="00C666DC" w:rsidP="00C666DC">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7777777" w:rsidR="00C666DC" w:rsidRPr="002A26E0" w:rsidRDefault="00C666DC" w:rsidP="00C666DC">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2D37CD7A" w:rsidR="00C666DC" w:rsidRPr="002A26E0" w:rsidRDefault="00C666DC" w:rsidP="00C666DC">
                  <w:pPr>
                    <w:widowControl w:val="0"/>
                    <w:jc w:val="center"/>
                    <w:rPr>
                      <w:i/>
                      <w:color w:val="A6A6A6" w:themeColor="background1" w:themeShade="A6"/>
                    </w:rPr>
                  </w:pPr>
                  <w:r>
                    <w:t>60</w:t>
                  </w:r>
                </w:p>
              </w:tc>
              <w:tc>
                <w:tcPr>
                  <w:tcW w:w="859" w:type="pct"/>
                  <w:vAlign w:val="center"/>
                </w:tcPr>
                <w:p w14:paraId="09AEC04D" w14:textId="6DC9511E" w:rsidR="00C666DC" w:rsidRPr="002A26E0" w:rsidRDefault="00C666DC" w:rsidP="00C666DC">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0065D34B"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0C3CA946" w:rsidR="00FF6DF1"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C666DC" w:rsidRPr="00C666DC">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3EE13D3" w14:textId="5EC89AF6" w:rsidR="00FF6DF1" w:rsidRPr="00265DBF"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C666DC" w:rsidRPr="00C666DC">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C75F23F" w14:textId="2AE555D2" w:rsidR="00FF6DF1" w:rsidRDefault="00FF6DF1" w:rsidP="00FF6DF1">
            <w:pPr>
              <w:widowControl w:val="0"/>
              <w:ind w:firstLine="709"/>
              <w:jc w:val="both"/>
              <w:rPr>
                <w:rFonts w:ascii="Times New Roman" w:hAnsi="Times New Roman"/>
              </w:rPr>
            </w:pPr>
            <w:r w:rsidRPr="00265DBF">
              <w:rPr>
                <w:rFonts w:ascii="Times New Roman" w:hAnsi="Times New Roman"/>
              </w:rPr>
              <w:t xml:space="preserve">* </w:t>
            </w:r>
            <w:r w:rsidR="002E62D5" w:rsidRPr="002E62D5">
              <w:rPr>
                <w:rFonts w:ascii="Times New Roman" w:hAnsi="Times New Roman"/>
              </w:rPr>
              <w:t>Под услугами сопоставимого характера понимаются услуги по организации мероприятий, конференций, форумов и т.д.</w:t>
            </w:r>
          </w:p>
          <w:p w14:paraId="2DAB345F" w14:textId="1C04FC74" w:rsidR="00FF6DF1" w:rsidRDefault="00FF6DF1" w:rsidP="00FF6DF1">
            <w:pPr>
              <w:widowControl w:val="0"/>
              <w:ind w:firstLine="709"/>
              <w:jc w:val="both"/>
              <w:rPr>
                <w:rFonts w:ascii="Times New Roman" w:hAnsi="Times New Roman"/>
              </w:rPr>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525B1A63" w14:textId="39992CB9" w:rsidR="00FF6DF1" w:rsidRDefault="00FF6DF1" w:rsidP="00FF6DF1">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64D8CF5B" w:rsidR="00FF6DF1" w:rsidRPr="003F5F17"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5E077137" w14:textId="4091C47D"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0055F694" w14:textId="0D4C02A2" w:rsidR="00FF6DF1" w:rsidRPr="00265DBF" w:rsidRDefault="00FF6DF1" w:rsidP="00C666DC">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0C102F38" w14:textId="35F2D26D" w:rsidR="00FF6DF1" w:rsidRDefault="00FF6DF1" w:rsidP="00FF6DF1">
            <w:pPr>
              <w:spacing w:line="288" w:lineRule="auto"/>
              <w:jc w:val="both"/>
              <w:rPr>
                <w:rFonts w:ascii="Times New Roman" w:hAnsi="Times New Roman"/>
              </w:rPr>
            </w:pPr>
          </w:p>
          <w:p w14:paraId="20CF1FE8" w14:textId="77777777" w:rsidR="00C666DC" w:rsidRPr="00C26829" w:rsidRDefault="00C666DC" w:rsidP="00C666DC">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КЗ*100*(Кi/</w:t>
            </w:r>
            <w:r w:rsidRPr="00C26829">
              <w:rPr>
                <w:rFonts w:ascii="Times New Roman" w:hAnsi="Times New Roman"/>
                <w:lang w:val="en-US"/>
              </w:rPr>
              <w:t>Kmax</w:t>
            </w:r>
            <w:r w:rsidRPr="00C26829">
              <w:rPr>
                <w:rFonts w:ascii="Times New Roman" w:hAnsi="Times New Roman"/>
              </w:rPr>
              <w:t>)</w:t>
            </w:r>
          </w:p>
          <w:p w14:paraId="4507BA28" w14:textId="77777777" w:rsidR="00C666DC" w:rsidRPr="008515FE" w:rsidRDefault="00C666DC" w:rsidP="00C666DC">
            <w:pPr>
              <w:widowControl w:val="0"/>
              <w:ind w:firstLine="709"/>
              <w:jc w:val="center"/>
              <w:rPr>
                <w:rFonts w:ascii="Times New Roman" w:hAnsi="Times New Roman"/>
                <w:i/>
              </w:rPr>
            </w:pPr>
          </w:p>
          <w:p w14:paraId="547D772F" w14:textId="77777777" w:rsidR="00C666DC" w:rsidRPr="008515FE" w:rsidRDefault="00C666DC" w:rsidP="00C666DC">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6C521A11" w14:textId="77777777" w:rsidR="00C666DC" w:rsidRPr="002A26E0" w:rsidRDefault="00C666DC" w:rsidP="00C666DC">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24BEEFC5" w14:textId="65AD7C48" w:rsidR="00C666DC" w:rsidRPr="002A26E0" w:rsidRDefault="00C666DC" w:rsidP="00C666DC">
            <w:pPr>
              <w:pStyle w:val="afa"/>
              <w:widowControl w:val="0"/>
              <w:ind w:left="0" w:firstLine="709"/>
              <w:jc w:val="both"/>
              <w:rPr>
                <w:rFonts w:ascii="Times New Roman" w:hAnsi="Times New Roman"/>
                <w:i/>
              </w:rPr>
            </w:pPr>
            <w:r w:rsidRPr="002A26E0">
              <w:rPr>
                <w:rFonts w:ascii="Times New Roman" w:hAnsi="Times New Roman"/>
                <w:i/>
              </w:rPr>
              <w:t>Ki - предложение участника закупки, заявка которого оценивается (</w:t>
            </w:r>
            <w:r w:rsidR="00306ED2">
              <w:rPr>
                <w:rFonts w:ascii="Times New Roman" w:hAnsi="Times New Roman"/>
                <w:i/>
              </w:rPr>
              <w:t>штуки</w:t>
            </w:r>
            <w:r w:rsidRPr="002A26E0">
              <w:rPr>
                <w:rFonts w:ascii="Times New Roman" w:hAnsi="Times New Roman"/>
                <w:i/>
              </w:rPr>
              <w:t>);</w:t>
            </w:r>
          </w:p>
          <w:p w14:paraId="3F7F7D09" w14:textId="37DBCCC1" w:rsidR="00C666DC" w:rsidRPr="00F02B6C" w:rsidRDefault="00C666DC" w:rsidP="00C666DC">
            <w:pPr>
              <w:spacing w:line="288" w:lineRule="auto"/>
              <w:jc w:val="both"/>
              <w:rPr>
                <w:rFonts w:ascii="Times New Roman" w:hAnsi="Times New Roman"/>
              </w:rPr>
            </w:pPr>
            <w:r w:rsidRPr="002A26E0">
              <w:rPr>
                <w:rFonts w:ascii="Times New Roman" w:hAnsi="Times New Roman"/>
                <w:i/>
              </w:rPr>
              <w:t>Kmax - максимальное предложение из предложений по показателю оценки, сделанных участниками закупки (</w:t>
            </w:r>
            <w:r w:rsidR="00306ED2">
              <w:rPr>
                <w:rFonts w:ascii="Times New Roman" w:hAnsi="Times New Roman"/>
                <w:i/>
              </w:rPr>
              <w:t>штуки</w:t>
            </w:r>
            <w:r w:rsidRPr="002A26E0">
              <w:rPr>
                <w:rFonts w:ascii="Times New Roman" w:hAnsi="Times New Roman"/>
                <w:i/>
              </w:rPr>
              <w:t>).</w:t>
            </w:r>
          </w:p>
          <w:p w14:paraId="49C546FB" w14:textId="77777777" w:rsidR="00FF6DF1" w:rsidRDefault="00FF6DF1" w:rsidP="00FF6DF1">
            <w:pPr>
              <w:ind w:firstLine="540"/>
              <w:jc w:val="both"/>
            </w:pPr>
          </w:p>
          <w:p w14:paraId="4B1C1AA3" w14:textId="5E03A391" w:rsidR="00FF6DF1" w:rsidRPr="00265DBF" w:rsidRDefault="00FF6DF1" w:rsidP="00FF6DF1">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1036C246" w14:textId="77777777" w:rsidR="00FF6DF1" w:rsidRPr="00265DBF" w:rsidRDefault="00FF6DF1" w:rsidP="00FF6DF1">
            <w:pPr>
              <w:ind w:left="-142"/>
              <w:contextualSpacing/>
              <w:rPr>
                <w:rFonts w:ascii="Times New Roman" w:hAnsi="Times New Roman"/>
                <w:iCs/>
                <w:color w:val="000000" w:themeColor="text1"/>
              </w:rPr>
            </w:pPr>
          </w:p>
          <w:p w14:paraId="1FC7AFDA" w14:textId="1753B83E"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4AB20F6B" w14:textId="77777777" w:rsidR="00FF6DF1" w:rsidRPr="00265DBF" w:rsidRDefault="00FF6DF1" w:rsidP="00FF6DF1">
            <w:pPr>
              <w:ind w:left="-142"/>
              <w:contextualSpacing/>
              <w:rPr>
                <w:rFonts w:ascii="Times New Roman" w:hAnsi="Times New Roman"/>
                <w:iCs/>
                <w:color w:val="000000" w:themeColor="text1"/>
              </w:rPr>
            </w:pPr>
          </w:p>
          <w:p w14:paraId="2C0651D1" w14:textId="2DC24A79"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097D7F85" w14:textId="77777777"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2E91B476" w14:textId="42A81272" w:rsidR="00FF6DF1" w:rsidRPr="00265DBF" w:rsidRDefault="00FF6DF1" w:rsidP="00FF6DF1">
            <w:pPr>
              <w:keepNext/>
              <w:ind w:left="720"/>
              <w:rPr>
                <w:rFonts w:ascii="Times New Roman" w:hAnsi="Times New Roman"/>
                <w:color w:val="000000" w:themeColor="text1"/>
              </w:rPr>
            </w:pPr>
            <w:r w:rsidRPr="00265DBF">
              <w:rPr>
                <w:rFonts w:ascii="Times New Roman" w:hAnsi="Times New Roman"/>
                <w:iCs/>
                <w:color w:val="000000" w:themeColor="text1"/>
              </w:rPr>
              <w:lastRenderedPageBreak/>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1ED777D0" w14:textId="77777777" w:rsidR="00FF6DF1" w:rsidRPr="00310367" w:rsidRDefault="00FF6DF1" w:rsidP="00FF6DF1">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FF6DF1"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FF6DF1"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FF6DF1"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FF6DF1"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105598458"/>
      <w:bookmarkEnd w:id="96"/>
      <w:r w:rsidRPr="00265DBF">
        <w:rPr>
          <w:b/>
          <w:bCs/>
          <w:lang w:eastAsia="en-US"/>
        </w:rPr>
        <w:lastRenderedPageBreak/>
        <w:t>ТЕХНИЧЕСКОЕ ЗАДАНИЕ</w:t>
      </w:r>
      <w:bookmarkEnd w:id="97"/>
    </w:p>
    <w:p w14:paraId="030B62BB" w14:textId="75729EC7" w:rsidR="0049501D" w:rsidRPr="00E901CB" w:rsidRDefault="00480F78" w:rsidP="00112B4E">
      <w:pPr>
        <w:widowControl w:val="0"/>
        <w:tabs>
          <w:tab w:val="left" w:pos="0"/>
        </w:tabs>
        <w:jc w:val="center"/>
        <w:rPr>
          <w:b/>
          <w:bCs/>
        </w:rPr>
      </w:pPr>
      <w:bookmarkStart w:id="98" w:name="_ПРОЕКТ_ДОГОВОРА"/>
      <w:bookmarkEnd w:id="98"/>
      <w:r>
        <w:rPr>
          <w:b/>
          <w:bCs/>
          <w:color w:val="000000"/>
        </w:rPr>
        <w:t xml:space="preserve">на </w:t>
      </w:r>
      <w:r w:rsidRPr="0011294C">
        <w:rPr>
          <w:b/>
          <w:bCs/>
          <w:color w:val="000000"/>
        </w:rPr>
        <w:t xml:space="preserve">оказание услуг </w:t>
      </w:r>
      <w:r w:rsidR="00306ED2" w:rsidRPr="00306ED2">
        <w:rPr>
          <w:b/>
          <w:bCs/>
          <w:color w:val="000000"/>
        </w:rPr>
        <w:t>по подготовке и проведению мероприятий "Tech in Fashion" в рамках Московской недели Моды на ВДНХ</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99" w:name="_Toc105598459"/>
      <w:r w:rsidRPr="00265DBF">
        <w:rPr>
          <w:b/>
          <w:bCs/>
          <w:lang w:eastAsia="en-US"/>
        </w:rPr>
        <w:lastRenderedPageBreak/>
        <w:t>ПРОЕКТ ДОГОВОРА</w:t>
      </w:r>
      <w:r w:rsidR="00956CE0">
        <w:rPr>
          <w:b/>
        </w:rPr>
        <w:br/>
      </w:r>
      <w:bookmarkStart w:id="100" w:name="_Toc93307010"/>
      <w:bookmarkStart w:id="101" w:name="_Hlk76634311"/>
      <w:bookmarkStart w:id="102" w:name="_Hlk79585204"/>
      <w:bookmarkStart w:id="103" w:name="_Hlk80616304"/>
      <w:r w:rsidR="00956CE0">
        <w:rPr>
          <w:b/>
        </w:rPr>
        <w:t>(</w:t>
      </w:r>
      <w:r w:rsidR="00310367">
        <w:rPr>
          <w:b/>
        </w:rPr>
        <w:t>Представлен отдельным файлом</w:t>
      </w:r>
      <w:bookmarkEnd w:id="100"/>
      <w:r w:rsidR="00956CE0">
        <w:rPr>
          <w:b/>
        </w:rPr>
        <w:t>)</w:t>
      </w:r>
      <w:bookmarkEnd w:id="99"/>
    </w:p>
    <w:bookmarkEnd w:id="101"/>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2"/>
    <w:bookmarkEnd w:id="103"/>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4" w:name="_Toc105598460"/>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CA52475" w:rsidR="003952FB" w:rsidRPr="00265DBF" w:rsidRDefault="00D31E62" w:rsidP="00F57C1E">
      <w:pPr>
        <w:widowControl w:val="0"/>
        <w:ind w:firstLine="709"/>
        <w:jc w:val="both"/>
      </w:pPr>
      <w:r>
        <w:t>М</w:t>
      </w:r>
      <w:r w:rsidR="008A165A" w:rsidRPr="00265DBF">
        <w:t>аксимальн</w:t>
      </w:r>
      <w:r>
        <w:t>ое значение</w:t>
      </w:r>
      <w:r w:rsidR="008A165A" w:rsidRPr="00265DBF">
        <w:t xml:space="preserve"> цен</w:t>
      </w:r>
      <w:r>
        <w:t>ы</w:t>
      </w:r>
      <w:r w:rsidR="008A165A" w:rsidRPr="00265DBF">
        <w:t xml:space="preserve"> </w:t>
      </w:r>
      <w:r w:rsidR="00AF6147" w:rsidRPr="00265DBF">
        <w:t>договора</w:t>
      </w:r>
      <w:r w:rsidR="008A165A" w:rsidRPr="00265DBF">
        <w:t xml:space="preserve"> </w:t>
      </w:r>
      <w:r w:rsidR="00217517">
        <w:t xml:space="preserve">на </w:t>
      </w:r>
      <w:r w:rsidR="000518F4">
        <w:rPr>
          <w:color w:val="000000"/>
        </w:rPr>
        <w:t xml:space="preserve">оказание услуг </w:t>
      </w:r>
      <w:r w:rsidR="00306ED2" w:rsidRPr="00306ED2">
        <w:rPr>
          <w:color w:val="000000"/>
        </w:rPr>
        <w:t xml:space="preserve">по подготовке и проведению мероприятий </w:t>
      </w:r>
      <w:r w:rsidR="00C07D72">
        <w:rPr>
          <w:color w:val="000000"/>
        </w:rPr>
        <w:t>«</w:t>
      </w:r>
      <w:r w:rsidR="00306ED2" w:rsidRPr="00306ED2">
        <w:rPr>
          <w:color w:val="000000"/>
        </w:rPr>
        <w:t>Tech in Fashion</w:t>
      </w:r>
      <w:r w:rsidR="00C07D72">
        <w:rPr>
          <w:color w:val="000000"/>
        </w:rPr>
        <w:t>»</w:t>
      </w:r>
      <w:r w:rsidR="00306ED2" w:rsidRPr="00306ED2">
        <w:rPr>
          <w:color w:val="000000"/>
        </w:rPr>
        <w:t xml:space="preserve"> в рамках Московской недели Моды на ВДНХ</w:t>
      </w:r>
      <w:r w:rsidR="00BE5C6E">
        <w:rPr>
          <w:rStyle w:val="Afffe"/>
        </w:rPr>
        <w:t xml:space="preserve">, </w:t>
      </w:r>
      <w:r w:rsidR="00CF64F2" w:rsidRPr="00265DBF">
        <w:t xml:space="preserve">составляет </w:t>
      </w:r>
      <w:r w:rsidR="002747B2" w:rsidRPr="002747B2">
        <w:rPr>
          <w:color w:val="000000"/>
        </w:rPr>
        <w:t>49 939 328 (Сорок девять миллионов девятьсот тридцать девять тысяч триста двадцать восемь) рублей 51 копейка</w:t>
      </w:r>
      <w:r w:rsidR="00EC6CB4" w:rsidRPr="00D15BAE">
        <w:t>, включая все налоговые сборы и платежи</w:t>
      </w:r>
      <w:r w:rsidR="003952FB" w:rsidRPr="00265DBF">
        <w:t>.</w:t>
      </w:r>
    </w:p>
    <w:p w14:paraId="16624BBC" w14:textId="35647B0C" w:rsidR="003952FB" w:rsidRPr="00265DBF" w:rsidRDefault="00D31E62" w:rsidP="003952FB">
      <w:pPr>
        <w:widowControl w:val="0"/>
        <w:ind w:firstLine="349"/>
        <w:jc w:val="both"/>
      </w:pPr>
      <w:r>
        <w:t>М</w:t>
      </w:r>
      <w:r w:rsidR="003952FB" w:rsidRPr="00265DBF">
        <w:t>аксимальн</w:t>
      </w:r>
      <w:r>
        <w:t>ое значение</w:t>
      </w:r>
      <w:r w:rsidR="003952FB" w:rsidRPr="00265DBF">
        <w:t xml:space="preserve"> цен</w:t>
      </w:r>
      <w:r>
        <w:t>ы</w:t>
      </w:r>
      <w:r w:rsidR="003952FB" w:rsidRPr="00265DBF">
        <w:t xml:space="preserve">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5" w:name="_Toc105598461"/>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36DC00B6" w:rsidR="00A06B09" w:rsidRPr="00265DBF" w:rsidRDefault="000518F4" w:rsidP="00D466DC">
            <w:pPr>
              <w:widowControl w:val="0"/>
              <w:rPr>
                <w:i/>
              </w:rPr>
            </w:pPr>
            <w:r>
              <w:rPr>
                <w:i/>
              </w:rPr>
              <w:t>Сумма ц</w:t>
            </w:r>
            <w:r w:rsidRPr="00265DBF">
              <w:rPr>
                <w:i/>
              </w:rPr>
              <w:t xml:space="preserve">ен </w:t>
            </w:r>
            <w:r>
              <w:rPr>
                <w:i/>
              </w:rPr>
              <w:t xml:space="preserve">единиц продукции </w:t>
            </w:r>
            <w:r w:rsidRPr="00265DBF">
              <w:rPr>
                <w:i/>
              </w:rPr>
              <w:t>(с учетом всех налогов и других обязательных платежей в соответствии с действующим законодательством Российской Федерации),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69304FCF" w:rsidR="00A06B09" w:rsidRPr="00265DBF" w:rsidRDefault="000518F4" w:rsidP="00D466DC">
            <w:pPr>
              <w:widowControl w:val="0"/>
              <w:jc w:val="center"/>
              <w:rPr>
                <w:i/>
              </w:rPr>
            </w:pPr>
            <w:r w:rsidRPr="00265DBF">
              <w:rPr>
                <w:i/>
              </w:rPr>
              <w:t xml:space="preserve">Не выше начальной (максимальной) </w:t>
            </w:r>
            <w:r>
              <w:rPr>
                <w:i/>
              </w:rPr>
              <w:t>суммы цен единиц продукции</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2A5392CE" w:rsidR="001C21CA" w:rsidRPr="00265DBF" w:rsidRDefault="001C21CA" w:rsidP="001C21CA">
            <w:pPr>
              <w:widowControl w:val="0"/>
              <w:jc w:val="center"/>
              <w:rPr>
                <w:i/>
              </w:rPr>
            </w:pPr>
            <w:r w:rsidRPr="00265DBF">
              <w:rPr>
                <w:i/>
              </w:rPr>
              <w:t xml:space="preserve">(указать </w:t>
            </w:r>
            <w:r w:rsidR="00503EDD">
              <w:rPr>
                <w:i/>
              </w:rPr>
              <w:t>общ</w:t>
            </w:r>
            <w:r w:rsidR="007344DD">
              <w:rPr>
                <w:i/>
              </w:rPr>
              <w:t>ее</w:t>
            </w:r>
            <w:r w:rsidR="00503EDD">
              <w:rPr>
                <w:i/>
              </w:rPr>
              <w:t xml:space="preserve"> </w:t>
            </w:r>
            <w:r w:rsidR="007344DD">
              <w:rPr>
                <w:i/>
              </w:rPr>
              <w:t>количество</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r w:rsidR="00F36063">
        <w:rPr>
          <w:b/>
        </w:rPr>
        <w:t>1.</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3"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3"/>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4" w:name="_Toc398807152"/>
      <w:bookmarkEnd w:id="114"/>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C339" w14:textId="77777777" w:rsidR="00A92509" w:rsidRDefault="00A92509">
      <w:r>
        <w:separator/>
      </w:r>
    </w:p>
  </w:endnote>
  <w:endnote w:type="continuationSeparator" w:id="0">
    <w:p w14:paraId="463EC250" w14:textId="77777777" w:rsidR="00A92509" w:rsidRDefault="00A9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A29E9" w14:textId="77777777" w:rsidR="00A92509" w:rsidRDefault="00A92509">
      <w:r>
        <w:separator/>
      </w:r>
    </w:p>
  </w:footnote>
  <w:footnote w:type="continuationSeparator" w:id="0">
    <w:p w14:paraId="37B423B8" w14:textId="77777777" w:rsidR="00A92509" w:rsidRDefault="00A92509">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603A25"/>
    <w:multiLevelType w:val="multilevel"/>
    <w:tmpl w:val="00AACD62"/>
    <w:lvl w:ilvl="0">
      <w:start w:val="2"/>
      <w:numFmt w:val="decimal"/>
      <w:lvlText w:val="%1."/>
      <w:lvlJc w:val="left"/>
      <w:pPr>
        <w:ind w:left="360" w:hanging="360"/>
      </w:pPr>
      <w:rPr>
        <w:rFonts w:hint="default"/>
        <w:b/>
        <w:bCs/>
      </w:rPr>
    </w:lvl>
    <w:lvl w:ilvl="1">
      <w:start w:val="1"/>
      <w:numFmt w:val="decimal"/>
      <w:lvlText w:val="%1.%2."/>
      <w:lvlJc w:val="left"/>
      <w:pPr>
        <w:ind w:left="2203"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6"/>
  </w:num>
  <w:num w:numId="2" w16cid:durableId="1504662129">
    <w:abstractNumId w:val="52"/>
  </w:num>
  <w:num w:numId="3" w16cid:durableId="823007814">
    <w:abstractNumId w:val="0"/>
  </w:num>
  <w:num w:numId="4" w16cid:durableId="2075883813">
    <w:abstractNumId w:val="57"/>
  </w:num>
  <w:num w:numId="5" w16cid:durableId="2174915">
    <w:abstractNumId w:val="53"/>
  </w:num>
  <w:num w:numId="6" w16cid:durableId="1112364148">
    <w:abstractNumId w:val="51"/>
  </w:num>
  <w:num w:numId="7" w16cid:durableId="995574366">
    <w:abstractNumId w:val="41"/>
  </w:num>
  <w:num w:numId="8" w16cid:durableId="1977418449">
    <w:abstractNumId w:val="13"/>
    <w:lvlOverride w:ilvl="0">
      <w:startOverride w:val="1"/>
    </w:lvlOverride>
    <w:lvlOverride w:ilvl="1"/>
    <w:lvlOverride w:ilvl="2"/>
    <w:lvlOverride w:ilvl="3"/>
    <w:lvlOverride w:ilvl="4"/>
    <w:lvlOverride w:ilvl="5"/>
    <w:lvlOverride w:ilvl="6"/>
    <w:lvlOverride w:ilvl="7"/>
    <w:lvlOverride w:ilvl="8"/>
  </w:num>
  <w:num w:numId="9" w16cid:durableId="676809520">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6"/>
  </w:num>
  <w:num w:numId="11" w16cid:durableId="812714828">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8"/>
  </w:num>
  <w:num w:numId="13" w16cid:durableId="481190653">
    <w:abstractNumId w:val="31"/>
  </w:num>
  <w:num w:numId="14" w16cid:durableId="1379014958">
    <w:abstractNumId w:val="34"/>
  </w:num>
  <w:num w:numId="15" w16cid:durableId="1240869561">
    <w:abstractNumId w:val="14"/>
  </w:num>
  <w:num w:numId="16" w16cid:durableId="286938638">
    <w:abstractNumId w:val="4"/>
  </w:num>
  <w:num w:numId="17" w16cid:durableId="1576358580">
    <w:abstractNumId w:val="28"/>
  </w:num>
  <w:num w:numId="18" w16cid:durableId="974019908">
    <w:abstractNumId w:val="30"/>
  </w:num>
  <w:num w:numId="19" w16cid:durableId="1220019491">
    <w:abstractNumId w:val="24"/>
  </w:num>
  <w:num w:numId="20" w16cid:durableId="1041436738">
    <w:abstractNumId w:val="38"/>
  </w:num>
  <w:num w:numId="21" w16cid:durableId="1951011951">
    <w:abstractNumId w:val="50"/>
  </w:num>
  <w:num w:numId="22" w16cid:durableId="147862988">
    <w:abstractNumId w:val="10"/>
  </w:num>
  <w:num w:numId="23" w16cid:durableId="543949673">
    <w:abstractNumId w:val="42"/>
  </w:num>
  <w:num w:numId="24" w16cid:durableId="1486702853">
    <w:abstractNumId w:val="40"/>
  </w:num>
  <w:num w:numId="25" w16cid:durableId="128712743">
    <w:abstractNumId w:val="7"/>
  </w:num>
  <w:num w:numId="26" w16cid:durableId="345987594">
    <w:abstractNumId w:val="29"/>
  </w:num>
  <w:num w:numId="27" w16cid:durableId="1555893858">
    <w:abstractNumId w:val="60"/>
  </w:num>
  <w:num w:numId="28" w16cid:durableId="1739210735">
    <w:abstractNumId w:val="16"/>
  </w:num>
  <w:num w:numId="29" w16cid:durableId="1264461929">
    <w:abstractNumId w:val="43"/>
  </w:num>
  <w:num w:numId="30" w16cid:durableId="1651514446">
    <w:abstractNumId w:val="21"/>
  </w:num>
  <w:num w:numId="31" w16cid:durableId="2116827455">
    <w:abstractNumId w:val="35"/>
  </w:num>
  <w:num w:numId="32" w16cid:durableId="15620839">
    <w:abstractNumId w:val="27"/>
  </w:num>
  <w:num w:numId="33" w16cid:durableId="1623461318">
    <w:abstractNumId w:val="55"/>
  </w:num>
  <w:num w:numId="34" w16cid:durableId="1601644950">
    <w:abstractNumId w:val="1"/>
  </w:num>
  <w:num w:numId="35" w16cid:durableId="1513228074">
    <w:abstractNumId w:val="17"/>
  </w:num>
  <w:num w:numId="36" w16cid:durableId="380907290">
    <w:abstractNumId w:val="25"/>
  </w:num>
  <w:num w:numId="37" w16cid:durableId="823815962">
    <w:abstractNumId w:val="47"/>
  </w:num>
  <w:num w:numId="38" w16cid:durableId="1307322014">
    <w:abstractNumId w:val="44"/>
  </w:num>
  <w:num w:numId="39" w16cid:durableId="542594925">
    <w:abstractNumId w:val="20"/>
  </w:num>
  <w:num w:numId="40" w16cid:durableId="1980451791">
    <w:abstractNumId w:val="9"/>
  </w:num>
  <w:num w:numId="41" w16cid:durableId="852033726">
    <w:abstractNumId w:val="18"/>
  </w:num>
  <w:num w:numId="42" w16cid:durableId="790711598">
    <w:abstractNumId w:val="36"/>
  </w:num>
  <w:num w:numId="43" w16cid:durableId="1819959053">
    <w:abstractNumId w:val="33"/>
  </w:num>
  <w:num w:numId="44" w16cid:durableId="1843355447">
    <w:abstractNumId w:val="23"/>
  </w:num>
  <w:num w:numId="45" w16cid:durableId="224223530">
    <w:abstractNumId w:val="8"/>
  </w:num>
  <w:num w:numId="46" w16cid:durableId="1635257643">
    <w:abstractNumId w:val="59"/>
  </w:num>
  <w:num w:numId="47" w16cid:durableId="1333796838">
    <w:abstractNumId w:val="15"/>
  </w:num>
  <w:num w:numId="48" w16cid:durableId="1989674062">
    <w:abstractNumId w:val="11"/>
  </w:num>
  <w:num w:numId="49" w16cid:durableId="1517383467">
    <w:abstractNumId w:val="61"/>
  </w:num>
  <w:num w:numId="50" w16cid:durableId="294995201">
    <w:abstractNumId w:val="26"/>
  </w:num>
  <w:num w:numId="51" w16cid:durableId="782114156">
    <w:abstractNumId w:val="54"/>
  </w:num>
  <w:num w:numId="52" w16cid:durableId="1892033176">
    <w:abstractNumId w:val="19"/>
  </w:num>
  <w:num w:numId="53" w16cid:durableId="227109429">
    <w:abstractNumId w:val="5"/>
  </w:num>
  <w:num w:numId="54" w16cid:durableId="1285968879">
    <w:abstractNumId w:val="49"/>
  </w:num>
  <w:num w:numId="55" w16cid:durableId="2080713532">
    <w:abstractNumId w:val="37"/>
  </w:num>
  <w:num w:numId="56" w16cid:durableId="1072586881">
    <w:abstractNumId w:val="22"/>
  </w:num>
  <w:num w:numId="57" w16cid:durableId="1289433928">
    <w:abstractNumId w:val="48"/>
  </w:num>
  <w:num w:numId="58" w16cid:durableId="1702508553">
    <w:abstractNumId w:val="45"/>
  </w:num>
  <w:num w:numId="59" w16cid:durableId="1495073235">
    <w:abstractNumId w:val="39"/>
  </w:num>
  <w:num w:numId="60" w16cid:durableId="216093633">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5E36"/>
    <w:rsid w:val="000F663A"/>
    <w:rsid w:val="000F6A2C"/>
    <w:rsid w:val="00100224"/>
    <w:rsid w:val="001009F7"/>
    <w:rsid w:val="0010309E"/>
    <w:rsid w:val="00105516"/>
    <w:rsid w:val="001060A2"/>
    <w:rsid w:val="00112866"/>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7A1"/>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7B2"/>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62D5"/>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06ED2"/>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10AB"/>
    <w:rsid w:val="0070388E"/>
    <w:rsid w:val="0070450A"/>
    <w:rsid w:val="00706585"/>
    <w:rsid w:val="00707052"/>
    <w:rsid w:val="007113C2"/>
    <w:rsid w:val="00711E72"/>
    <w:rsid w:val="00714D63"/>
    <w:rsid w:val="00723B01"/>
    <w:rsid w:val="00725424"/>
    <w:rsid w:val="00726139"/>
    <w:rsid w:val="00730918"/>
    <w:rsid w:val="0073292B"/>
    <w:rsid w:val="007344DD"/>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2509"/>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596C"/>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07D72"/>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5F6F"/>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0CAB"/>
    <w:rsid w:val="00E04F89"/>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0E8E"/>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519B"/>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8077</Words>
  <Characters>46044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54013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2022-06-08T07:46:00Z</dcterms:created>
  <dcterms:modified xsi:type="dcterms:W3CDTF">2022-06-09T19:12:00Z</dcterms:modified>
</cp:coreProperties>
</file>